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4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27"/>
        <w:gridCol w:w="7513"/>
      </w:tblGrid>
      <w:tr w:rsidR="00B56340" w:rsidRPr="00C30979" w:rsidTr="00DF4DCB">
        <w:trPr>
          <w:cantSplit/>
          <w:trHeight w:val="533"/>
          <w:tblHeader/>
        </w:trPr>
        <w:tc>
          <w:tcPr>
            <w:tcW w:w="10740" w:type="dxa"/>
            <w:gridSpan w:val="2"/>
          </w:tcPr>
          <w:p w:rsidR="00B56340" w:rsidRDefault="00B56340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ind w:left="109"/>
              <w:jc w:val="center"/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M.A. (Two Years Degree Program)</w:t>
            </w:r>
          </w:p>
        </w:tc>
      </w:tr>
      <w:tr w:rsidR="00B56340" w:rsidRPr="00C30979" w:rsidTr="00DF4DCB">
        <w:trPr>
          <w:cantSplit/>
          <w:trHeight w:val="399"/>
          <w:tblHeader/>
        </w:trPr>
        <w:tc>
          <w:tcPr>
            <w:tcW w:w="10740" w:type="dxa"/>
            <w:gridSpan w:val="2"/>
          </w:tcPr>
          <w:p w:rsidR="00B56340" w:rsidRPr="00136E9B" w:rsidRDefault="00B56340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ind w:left="109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</w:rPr>
            </w:pPr>
            <w:r w:rsidRPr="00136E9B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</w:rPr>
              <w:t>Second Semester</w:t>
            </w:r>
          </w:p>
        </w:tc>
      </w:tr>
      <w:tr w:rsidR="00B56340" w:rsidRPr="00C30979" w:rsidTr="00DF4DCB">
        <w:trPr>
          <w:cantSplit/>
          <w:trHeight w:val="399"/>
          <w:tblHeader/>
        </w:trPr>
        <w:tc>
          <w:tcPr>
            <w:tcW w:w="10740" w:type="dxa"/>
            <w:gridSpan w:val="2"/>
          </w:tcPr>
          <w:p w:rsidR="00B56340" w:rsidRPr="00E872B0" w:rsidRDefault="00B56340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ind w:left="109"/>
              <w:jc w:val="center"/>
              <w:rPr>
                <w:rFonts w:ascii="Times New Roman" w:hAnsi="Times New Roman" w:cs="Times New Roman"/>
                <w:b/>
                <w:color w:val="17365D"/>
                <w:sz w:val="20"/>
                <w:lang w:val="en-IN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0"/>
              </w:rPr>
              <w:t xml:space="preserve">Subject- Hindi </w:t>
            </w:r>
          </w:p>
        </w:tc>
      </w:tr>
      <w:tr w:rsidR="00B56340" w:rsidRPr="00C30979" w:rsidTr="00DF4DCB">
        <w:trPr>
          <w:cantSplit/>
          <w:trHeight w:val="511"/>
          <w:tblHeader/>
        </w:trPr>
        <w:tc>
          <w:tcPr>
            <w:tcW w:w="3227" w:type="dxa"/>
            <w:shd w:val="clear" w:color="auto" w:fill="C6D9F1"/>
            <w:vAlign w:val="center"/>
          </w:tcPr>
          <w:p w:rsidR="00B56340" w:rsidRDefault="00B56340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left="107"/>
              <w:rPr>
                <w:rFonts w:ascii="Times New Roman" w:hAnsi="Times New Roman" w:cs="Times New Roman"/>
                <w:b/>
                <w:color w:val="3333FF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3333FF"/>
                <w:sz w:val="20"/>
              </w:rPr>
              <w:t>Code of the Course</w:t>
            </w:r>
          </w:p>
        </w:tc>
        <w:tc>
          <w:tcPr>
            <w:tcW w:w="7513" w:type="dxa"/>
            <w:shd w:val="clear" w:color="auto" w:fill="C6D9F1"/>
            <w:vAlign w:val="center"/>
          </w:tcPr>
          <w:p w:rsidR="00B56340" w:rsidRDefault="00B56340" w:rsidP="00DF4DCB">
            <w:pPr>
              <w:spacing w:before="48" w:after="4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HIN800</w:t>
            </w:r>
            <w:r w:rsidRPr="00C30979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T</w:t>
            </w:r>
          </w:p>
        </w:tc>
      </w:tr>
      <w:tr w:rsidR="00B56340" w:rsidRPr="00C30979" w:rsidTr="00DF4DCB">
        <w:trPr>
          <w:cantSplit/>
          <w:trHeight w:val="560"/>
          <w:tblHeader/>
        </w:trPr>
        <w:tc>
          <w:tcPr>
            <w:tcW w:w="3227" w:type="dxa"/>
            <w:shd w:val="clear" w:color="auto" w:fill="C6D9F1"/>
            <w:vAlign w:val="center"/>
          </w:tcPr>
          <w:p w:rsidR="00B56340" w:rsidRDefault="00B56340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left="107"/>
              <w:rPr>
                <w:rFonts w:ascii="Times New Roman" w:hAnsi="Times New Roman" w:cs="Times New Roman"/>
                <w:b/>
                <w:color w:val="3333FF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3333FF"/>
                <w:sz w:val="20"/>
              </w:rPr>
              <w:t>Title of the Course</w:t>
            </w:r>
          </w:p>
        </w:tc>
        <w:tc>
          <w:tcPr>
            <w:tcW w:w="7513" w:type="dxa"/>
            <w:shd w:val="clear" w:color="auto" w:fill="C6D9F1"/>
            <w:vAlign w:val="center"/>
          </w:tcPr>
          <w:p w:rsidR="00B56340" w:rsidRPr="00C30979" w:rsidRDefault="00B56340" w:rsidP="00DF4DCB">
            <w:pPr>
              <w:spacing w:before="48" w:after="48"/>
              <w:rPr>
                <w:rFonts w:ascii="Kruti Dev 010" w:hAnsi="Kruti Dev 010"/>
                <w:szCs w:val="22"/>
                <w:highlight w:val="yellow"/>
              </w:rPr>
            </w:pPr>
            <w:r w:rsidRPr="00C30979">
              <w:rPr>
                <w:rFonts w:ascii="Kruti Dev 010" w:hAnsi="Kruti Dev 010" w:hint="cs"/>
                <w:b/>
                <w:bCs/>
                <w:color w:val="1F497D"/>
                <w:szCs w:val="22"/>
                <w:highlight w:val="yellow"/>
                <w:cs/>
              </w:rPr>
              <w:t>रीतिकालीन हिंदी काव्य</w:t>
            </w:r>
          </w:p>
        </w:tc>
      </w:tr>
      <w:tr w:rsidR="00B56340" w:rsidRPr="00C30979" w:rsidTr="00DF4DCB">
        <w:trPr>
          <w:cantSplit/>
          <w:trHeight w:val="555"/>
          <w:tblHeader/>
        </w:trPr>
        <w:tc>
          <w:tcPr>
            <w:tcW w:w="3227" w:type="dxa"/>
            <w:shd w:val="clear" w:color="auto" w:fill="F2DCDB"/>
            <w:vAlign w:val="center"/>
          </w:tcPr>
          <w:p w:rsidR="00B56340" w:rsidRDefault="00B56340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left="107"/>
              <w:rPr>
                <w:rFonts w:ascii="Times New Roman" w:hAnsi="Times New Roman" w:cs="Times New Roman"/>
                <w:b/>
                <w:color w:val="3333FF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3333FF"/>
                <w:sz w:val="20"/>
              </w:rPr>
              <w:t>Qualification Level of the Course</w:t>
            </w:r>
          </w:p>
        </w:tc>
        <w:tc>
          <w:tcPr>
            <w:tcW w:w="7513" w:type="dxa"/>
            <w:shd w:val="clear" w:color="auto" w:fill="F2DCDB"/>
            <w:vAlign w:val="center"/>
          </w:tcPr>
          <w:p w:rsidR="00B56340" w:rsidRDefault="00B56340" w:rsidP="00DF4DCB">
            <w:pPr>
              <w:spacing w:before="48" w:after="48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NHEQF Level 6</w:t>
            </w:r>
          </w:p>
        </w:tc>
      </w:tr>
      <w:tr w:rsidR="00B56340" w:rsidRPr="00C30979" w:rsidTr="00DF4DCB">
        <w:trPr>
          <w:cantSplit/>
          <w:trHeight w:val="512"/>
          <w:tblHeader/>
        </w:trPr>
        <w:tc>
          <w:tcPr>
            <w:tcW w:w="3227" w:type="dxa"/>
            <w:shd w:val="clear" w:color="auto" w:fill="F2DCDB"/>
            <w:vAlign w:val="center"/>
          </w:tcPr>
          <w:p w:rsidR="00B56340" w:rsidRDefault="00B56340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left="107"/>
              <w:rPr>
                <w:rFonts w:ascii="Times New Roman" w:hAnsi="Times New Roman" w:cs="Times New Roman"/>
                <w:b/>
                <w:color w:val="3333FF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3333FF"/>
                <w:sz w:val="20"/>
              </w:rPr>
              <w:t>Credit of the course</w:t>
            </w:r>
          </w:p>
        </w:tc>
        <w:tc>
          <w:tcPr>
            <w:tcW w:w="7513" w:type="dxa"/>
            <w:shd w:val="clear" w:color="auto" w:fill="F2DCDB"/>
            <w:vAlign w:val="center"/>
          </w:tcPr>
          <w:p w:rsidR="00B56340" w:rsidRDefault="00B56340" w:rsidP="00DF4DCB">
            <w:pPr>
              <w:spacing w:before="48" w:after="4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B56340" w:rsidRPr="00C30979" w:rsidTr="00DF4DCB">
        <w:trPr>
          <w:cantSplit/>
          <w:trHeight w:val="547"/>
          <w:tblHeader/>
        </w:trPr>
        <w:tc>
          <w:tcPr>
            <w:tcW w:w="3227" w:type="dxa"/>
            <w:shd w:val="clear" w:color="auto" w:fill="F2DCDB"/>
            <w:vAlign w:val="center"/>
          </w:tcPr>
          <w:p w:rsidR="00B56340" w:rsidRDefault="00B56340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left="107"/>
              <w:rPr>
                <w:rFonts w:ascii="Times New Roman" w:hAnsi="Times New Roman" w:cs="Times New Roman"/>
                <w:b/>
                <w:color w:val="3333FF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3333FF"/>
                <w:sz w:val="20"/>
              </w:rPr>
              <w:t>Type of the course</w:t>
            </w:r>
          </w:p>
        </w:tc>
        <w:tc>
          <w:tcPr>
            <w:tcW w:w="7513" w:type="dxa"/>
            <w:shd w:val="clear" w:color="auto" w:fill="F2DCDB"/>
            <w:vAlign w:val="center"/>
          </w:tcPr>
          <w:p w:rsidR="00B56340" w:rsidRDefault="00B56340" w:rsidP="00DF4DCB">
            <w:pPr>
              <w:spacing w:before="48" w:after="4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Discipline Centric Compulsory (DCC) Course in Hindi </w:t>
            </w:r>
          </w:p>
        </w:tc>
      </w:tr>
      <w:tr w:rsidR="00B56340" w:rsidRPr="00C30979" w:rsidTr="00DF4DCB">
        <w:trPr>
          <w:cantSplit/>
          <w:trHeight w:val="569"/>
          <w:tblHeader/>
        </w:trPr>
        <w:tc>
          <w:tcPr>
            <w:tcW w:w="3227" w:type="dxa"/>
            <w:shd w:val="clear" w:color="auto" w:fill="F2DCDB"/>
            <w:vAlign w:val="center"/>
          </w:tcPr>
          <w:p w:rsidR="00B56340" w:rsidRDefault="00B56340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left="107"/>
              <w:rPr>
                <w:rFonts w:ascii="Times New Roman" w:hAnsi="Times New Roman" w:cs="Times New Roman"/>
                <w:b/>
                <w:color w:val="3333FF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3333FF"/>
                <w:sz w:val="20"/>
              </w:rPr>
              <w:t>Delivery type of the Course</w:t>
            </w:r>
          </w:p>
        </w:tc>
        <w:tc>
          <w:tcPr>
            <w:tcW w:w="7513" w:type="dxa"/>
            <w:shd w:val="clear" w:color="auto" w:fill="F2DCDB"/>
            <w:vAlign w:val="center"/>
          </w:tcPr>
          <w:p w:rsidR="00B56340" w:rsidRDefault="00B56340" w:rsidP="00DF4DCB">
            <w:pPr>
              <w:spacing w:before="48" w:after="48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Lecture, 40+10+10=60hr. (The 40 lectures for content delivery + 10 on diagnostic assessment, formative assessment, +10 Tutorial)</w:t>
            </w:r>
          </w:p>
        </w:tc>
      </w:tr>
      <w:tr w:rsidR="00B56340" w:rsidRPr="00C30979" w:rsidTr="00DF4DCB">
        <w:trPr>
          <w:cantSplit/>
          <w:trHeight w:val="211"/>
          <w:tblHeader/>
        </w:trPr>
        <w:tc>
          <w:tcPr>
            <w:tcW w:w="3227" w:type="dxa"/>
            <w:shd w:val="clear" w:color="auto" w:fill="F2DCDB"/>
            <w:vAlign w:val="center"/>
          </w:tcPr>
          <w:p w:rsidR="00B56340" w:rsidRDefault="00B56340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left="107"/>
              <w:rPr>
                <w:rFonts w:ascii="Times New Roman" w:hAnsi="Times New Roman" w:cs="Times New Roman"/>
                <w:b/>
                <w:color w:val="3333FF"/>
                <w:sz w:val="20"/>
              </w:rPr>
            </w:pPr>
          </w:p>
          <w:p w:rsidR="00B56340" w:rsidRDefault="00B56340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left="107"/>
              <w:rPr>
                <w:rFonts w:ascii="Times New Roman" w:hAnsi="Times New Roman" w:cs="Times New Roman"/>
                <w:b/>
                <w:color w:val="3333FF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3333FF"/>
                <w:sz w:val="20"/>
              </w:rPr>
              <w:t>Prerequisites</w:t>
            </w:r>
          </w:p>
        </w:tc>
        <w:tc>
          <w:tcPr>
            <w:tcW w:w="7513" w:type="dxa"/>
            <w:shd w:val="clear" w:color="auto" w:fill="F2DCDB"/>
            <w:vAlign w:val="center"/>
          </w:tcPr>
          <w:p w:rsidR="00B56340" w:rsidRDefault="00B56340" w:rsidP="00DF4DCB">
            <w:pPr>
              <w:spacing w:before="48" w:after="48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B.A. </w:t>
            </w:r>
          </w:p>
        </w:tc>
      </w:tr>
      <w:tr w:rsidR="00B56340" w:rsidRPr="00C30979" w:rsidTr="00DF4DCB">
        <w:trPr>
          <w:cantSplit/>
          <w:trHeight w:val="659"/>
          <w:tblHeader/>
        </w:trPr>
        <w:tc>
          <w:tcPr>
            <w:tcW w:w="3227" w:type="dxa"/>
            <w:shd w:val="clear" w:color="auto" w:fill="F2DCDB"/>
            <w:vAlign w:val="center"/>
          </w:tcPr>
          <w:p w:rsidR="00B56340" w:rsidRDefault="00B56340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left="107"/>
              <w:rPr>
                <w:rFonts w:ascii="Times New Roman" w:hAnsi="Times New Roman" w:cs="Times New Roman"/>
                <w:b/>
                <w:color w:val="3333FF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3333FF"/>
                <w:sz w:val="20"/>
              </w:rPr>
              <w:t>Co-requisites</w:t>
            </w:r>
          </w:p>
        </w:tc>
        <w:tc>
          <w:tcPr>
            <w:tcW w:w="7513" w:type="dxa"/>
            <w:shd w:val="clear" w:color="auto" w:fill="F2DCDB"/>
            <w:vAlign w:val="center"/>
          </w:tcPr>
          <w:p w:rsidR="00B56340" w:rsidRDefault="00B56340" w:rsidP="00DF4DCB">
            <w:pPr>
              <w:spacing w:before="48" w:after="48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None</w:t>
            </w:r>
          </w:p>
        </w:tc>
      </w:tr>
      <w:tr w:rsidR="00B56340" w:rsidRPr="00C30979" w:rsidTr="00DF4DCB">
        <w:trPr>
          <w:cantSplit/>
          <w:trHeight w:val="659"/>
          <w:tblHeader/>
        </w:trPr>
        <w:tc>
          <w:tcPr>
            <w:tcW w:w="3227" w:type="dxa"/>
            <w:shd w:val="clear" w:color="auto" w:fill="F2DCDB"/>
            <w:vAlign w:val="center"/>
          </w:tcPr>
          <w:p w:rsidR="00B56340" w:rsidRDefault="00B56340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left="107"/>
              <w:rPr>
                <w:rFonts w:ascii="Times New Roman" w:hAnsi="Times New Roman" w:cs="Times New Roman"/>
                <w:b/>
                <w:color w:val="3333FF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3333FF"/>
                <w:sz w:val="20"/>
              </w:rPr>
              <w:t>Objectives of the course</w:t>
            </w:r>
          </w:p>
        </w:tc>
        <w:tc>
          <w:tcPr>
            <w:tcW w:w="7513" w:type="dxa"/>
            <w:shd w:val="clear" w:color="auto" w:fill="F2DCDB"/>
            <w:vAlign w:val="center"/>
          </w:tcPr>
          <w:p w:rsidR="00B56340" w:rsidRPr="00136E9B" w:rsidRDefault="00B56340" w:rsidP="00DF4DCB">
            <w:pPr>
              <w:spacing w:after="0"/>
              <w:rPr>
                <w:rFonts w:ascii="Kruti Dev 010" w:hAnsi="Kruti Dev 010"/>
                <w:color w:val="943634" w:themeColor="accent2" w:themeShade="BF"/>
                <w:sz w:val="20"/>
              </w:rPr>
            </w:pPr>
            <w:r w:rsidRPr="00136E9B">
              <w:rPr>
                <w:rFonts w:ascii="Kruti Dev 010" w:hAnsi="Kruti Dev 010" w:hint="cs"/>
                <w:color w:val="943634" w:themeColor="accent2" w:themeShade="BF"/>
                <w:sz w:val="20"/>
                <w:cs/>
              </w:rPr>
              <w:t>1.</w:t>
            </w:r>
            <w:r w:rsidRPr="00136E9B">
              <w:rPr>
                <w:rFonts w:ascii="Kruti Dev 010" w:hAnsi="Kruti Dev 010"/>
                <w:color w:val="943634" w:themeColor="accent2" w:themeShade="BF"/>
                <w:sz w:val="20"/>
                <w:cs/>
              </w:rPr>
              <w:t xml:space="preserve"> हिंदी रीतिकालीन काव्य प्रवृत्तियों की जानकारी देना। </w:t>
            </w:r>
          </w:p>
          <w:p w:rsidR="00B56340" w:rsidRPr="00136E9B" w:rsidRDefault="00B56340" w:rsidP="00DF4DCB">
            <w:pPr>
              <w:spacing w:after="0"/>
              <w:rPr>
                <w:rFonts w:ascii="Kruti Dev 010" w:hAnsi="Kruti Dev 010"/>
                <w:color w:val="943634" w:themeColor="accent2" w:themeShade="BF"/>
                <w:sz w:val="20"/>
              </w:rPr>
            </w:pPr>
            <w:r w:rsidRPr="00136E9B">
              <w:rPr>
                <w:rFonts w:ascii="Kruti Dev 010" w:hAnsi="Kruti Dev 010"/>
                <w:color w:val="943634" w:themeColor="accent2" w:themeShade="BF"/>
                <w:sz w:val="20"/>
                <w:cs/>
              </w:rPr>
              <w:t>2. तत्कालीन प्रमुख कवि तथा उनकी कृतियों से परिचय कराना।</w:t>
            </w:r>
          </w:p>
          <w:p w:rsidR="00B56340" w:rsidRPr="00136E9B" w:rsidRDefault="00B56340" w:rsidP="00DF4DCB">
            <w:pPr>
              <w:spacing w:after="0"/>
              <w:rPr>
                <w:rFonts w:ascii="Kruti Dev 010" w:hAnsi="Kruti Dev 010" w:cs="Times New Roman"/>
                <w:color w:val="943634" w:themeColor="accent2" w:themeShade="BF"/>
                <w:sz w:val="20"/>
              </w:rPr>
            </w:pPr>
            <w:r w:rsidRPr="00136E9B">
              <w:rPr>
                <w:rFonts w:ascii="Kruti Dev 010" w:hAnsi="Kruti Dev 010"/>
                <w:color w:val="943634" w:themeColor="accent2" w:themeShade="BF"/>
                <w:sz w:val="20"/>
                <w:cs/>
              </w:rPr>
              <w:t>3. पाठ्य कृतियों के सन्दर्भ में समीक्षा की क्षमता बढ़ाना।</w:t>
            </w:r>
          </w:p>
        </w:tc>
      </w:tr>
      <w:tr w:rsidR="00B56340" w:rsidRPr="00C30979" w:rsidTr="00DF4DCB">
        <w:trPr>
          <w:cantSplit/>
          <w:trHeight w:val="1371"/>
          <w:tblHeader/>
        </w:trPr>
        <w:tc>
          <w:tcPr>
            <w:tcW w:w="3227" w:type="dxa"/>
            <w:shd w:val="clear" w:color="auto" w:fill="F2DCDB"/>
            <w:vAlign w:val="center"/>
          </w:tcPr>
          <w:p w:rsidR="00B56340" w:rsidRDefault="00B56340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0" w:line="240" w:lineRule="auto"/>
              <w:ind w:left="107"/>
              <w:rPr>
                <w:rFonts w:ascii="Times New Roman" w:hAnsi="Times New Roman" w:cs="Times New Roman"/>
                <w:b/>
                <w:color w:val="3333FF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3333FF"/>
                <w:sz w:val="20"/>
              </w:rPr>
              <w:t>Learning outcomes</w:t>
            </w:r>
          </w:p>
        </w:tc>
        <w:tc>
          <w:tcPr>
            <w:tcW w:w="7513" w:type="dxa"/>
            <w:shd w:val="clear" w:color="auto" w:fill="F2DCDB"/>
            <w:vAlign w:val="center"/>
          </w:tcPr>
          <w:p w:rsidR="00B56340" w:rsidRPr="00C30979" w:rsidRDefault="00B56340" w:rsidP="00B5634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C30979">
              <w:rPr>
                <w:cs/>
              </w:rPr>
              <w:t>रीति काव्य के विश्लेषण से विद्यार्थियों का ज्ञानवर्धन</w:t>
            </w:r>
            <w:r w:rsidRPr="00C30979">
              <w:rPr>
                <w:rFonts w:hint="cs"/>
                <w:cs/>
              </w:rPr>
              <w:t xml:space="preserve"> हुआ।</w:t>
            </w:r>
          </w:p>
          <w:p w:rsidR="00B56340" w:rsidRPr="00C30979" w:rsidRDefault="00B56340" w:rsidP="00B5634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C30979">
              <w:rPr>
                <w:cs/>
              </w:rPr>
              <w:t>काव्य</w:t>
            </w:r>
            <w:r w:rsidRPr="00C30979">
              <w:rPr>
                <w:rFonts w:hint="cs"/>
                <w:cs/>
              </w:rPr>
              <w:t>ग्रंथों</w:t>
            </w:r>
            <w:r w:rsidRPr="00C30979">
              <w:rPr>
                <w:cs/>
              </w:rPr>
              <w:t xml:space="preserve"> एवं काव्यशास्त्र के सिद्धांतों </w:t>
            </w:r>
            <w:r w:rsidRPr="00C30979">
              <w:rPr>
                <w:rFonts w:hint="cs"/>
                <w:cs/>
              </w:rPr>
              <w:t>की जानकारी प्राप्त हुई।</w:t>
            </w:r>
          </w:p>
          <w:p w:rsidR="00B56340" w:rsidRPr="00C30979" w:rsidRDefault="00B56340" w:rsidP="00B5634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C30979">
              <w:rPr>
                <w:cs/>
              </w:rPr>
              <w:t>रचनात्मक</w:t>
            </w:r>
            <w:r w:rsidRPr="00C30979">
              <w:t>,</w:t>
            </w:r>
            <w:r>
              <w:rPr>
                <w:rFonts w:hint="cs"/>
                <w:cs/>
              </w:rPr>
              <w:t xml:space="preserve"> </w:t>
            </w:r>
            <w:r w:rsidRPr="00C30979">
              <w:rPr>
                <w:rFonts w:hint="cs"/>
                <w:cs/>
              </w:rPr>
              <w:t>सौंदर्यात्मकता</w:t>
            </w:r>
            <w:r w:rsidRPr="00C30979">
              <w:rPr>
                <w:cs/>
              </w:rPr>
              <w:t xml:space="preserve"> एवं संवेदनशीलता </w:t>
            </w:r>
            <w:r w:rsidRPr="00C30979">
              <w:rPr>
                <w:rFonts w:hint="cs"/>
                <w:cs/>
              </w:rPr>
              <w:t>का विकास</w:t>
            </w:r>
            <w:r w:rsidRPr="00C30979">
              <w:rPr>
                <w:cs/>
              </w:rPr>
              <w:t xml:space="preserve"> और नैतिक मूल्यों की </w:t>
            </w:r>
            <w:r w:rsidRPr="00C30979">
              <w:rPr>
                <w:rFonts w:hint="cs"/>
                <w:cs/>
              </w:rPr>
              <w:t>प्रतिस्थापना हुई।</w:t>
            </w:r>
          </w:p>
        </w:tc>
      </w:tr>
      <w:tr w:rsidR="00B56340" w:rsidRPr="00C30979" w:rsidTr="00DF4DCB">
        <w:trPr>
          <w:cantSplit/>
          <w:trHeight w:val="659"/>
          <w:tblHeader/>
        </w:trPr>
        <w:tc>
          <w:tcPr>
            <w:tcW w:w="10740" w:type="dxa"/>
            <w:gridSpan w:val="2"/>
            <w:shd w:val="clear" w:color="auto" w:fill="F2DCDB"/>
            <w:vAlign w:val="center"/>
          </w:tcPr>
          <w:p w:rsidR="00B56340" w:rsidRDefault="00B56340" w:rsidP="00DF4DCB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Syllabus</w:t>
            </w:r>
          </w:p>
        </w:tc>
      </w:tr>
      <w:tr w:rsidR="00B56340" w:rsidRPr="00C30979" w:rsidTr="00DF4DCB">
        <w:trPr>
          <w:cantSplit/>
          <w:trHeight w:val="659"/>
          <w:tblHeader/>
        </w:trPr>
        <w:tc>
          <w:tcPr>
            <w:tcW w:w="3227" w:type="dxa"/>
            <w:vMerge w:val="restart"/>
            <w:shd w:val="clear" w:color="auto" w:fill="F2DCDB"/>
            <w:vAlign w:val="center"/>
          </w:tcPr>
          <w:p w:rsidR="00B56340" w:rsidRDefault="00B56340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left="107"/>
              <w:jc w:val="center"/>
              <w:rPr>
                <w:rFonts w:ascii="Times New Roman" w:hAnsi="Times New Roman" w:cs="Times New Roman"/>
                <w:b/>
                <w:color w:val="3333FF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3333FF"/>
                <w:sz w:val="20"/>
              </w:rPr>
              <w:t>UNIT-I</w:t>
            </w:r>
          </w:p>
        </w:tc>
        <w:tc>
          <w:tcPr>
            <w:tcW w:w="7513" w:type="dxa"/>
            <w:vMerge w:val="restart"/>
            <w:shd w:val="clear" w:color="auto" w:fill="F2DCDB"/>
            <w:vAlign w:val="center"/>
          </w:tcPr>
          <w:p w:rsidR="00B56340" w:rsidRDefault="00B56340" w:rsidP="00DF4DCB">
            <w:pPr>
              <w:spacing w:after="0"/>
            </w:pPr>
            <w:r w:rsidRPr="00C30979">
              <w:t>‘</w:t>
            </w:r>
            <w:r w:rsidRPr="00C30979">
              <w:rPr>
                <w:cs/>
              </w:rPr>
              <w:t>बिहारी रत्नाकर</w:t>
            </w:r>
            <w:r w:rsidRPr="00C30979">
              <w:t>’ (</w:t>
            </w:r>
            <w:r w:rsidRPr="00C30979">
              <w:rPr>
                <w:cs/>
              </w:rPr>
              <w:t>प्रथम 50 दोहे) से चयनित दोहों की व्याख्या एवं बिहारी संबंधी आलोचनात्मक प्रश्न।</w:t>
            </w:r>
          </w:p>
          <w:p w:rsidR="00B56340" w:rsidRPr="00C30979" w:rsidRDefault="00B56340" w:rsidP="00DF4DCB">
            <w:pPr>
              <w:spacing w:after="0"/>
              <w:jc w:val="right"/>
            </w:pPr>
            <w:r w:rsidRPr="0026348E">
              <w:rPr>
                <w:rFonts w:ascii="Arial Unicode MS" w:eastAsia="Arial Unicode MS" w:hAnsi="Arial Unicode MS"/>
                <w:b/>
                <w:bCs/>
                <w:sz w:val="20"/>
              </w:rPr>
              <w:t>(1</w:t>
            </w:r>
            <w:r>
              <w:rPr>
                <w:rFonts w:ascii="Arial Unicode MS" w:eastAsia="Arial Unicode MS" w:hAnsi="Arial Unicode MS"/>
                <w:b/>
                <w:bCs/>
                <w:sz w:val="20"/>
              </w:rPr>
              <w:t>2</w:t>
            </w:r>
            <w:r w:rsidRPr="0026348E">
              <w:rPr>
                <w:rFonts w:ascii="Arial Unicode MS" w:eastAsia="Arial Unicode MS" w:hAnsi="Arial Unicode MS"/>
                <w:b/>
                <w:bCs/>
                <w:sz w:val="20"/>
              </w:rPr>
              <w:t xml:space="preserve"> Hours)</w:t>
            </w:r>
          </w:p>
        </w:tc>
      </w:tr>
      <w:tr w:rsidR="00B56340" w:rsidRPr="00C30979" w:rsidTr="00DF4DCB">
        <w:trPr>
          <w:cantSplit/>
          <w:trHeight w:val="267"/>
          <w:tblHeader/>
        </w:trPr>
        <w:tc>
          <w:tcPr>
            <w:tcW w:w="3227" w:type="dxa"/>
            <w:vMerge/>
            <w:shd w:val="clear" w:color="auto" w:fill="F2DCDB"/>
            <w:vAlign w:val="center"/>
          </w:tcPr>
          <w:p w:rsidR="00B56340" w:rsidRDefault="00B56340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13" w:type="dxa"/>
            <w:vMerge/>
            <w:shd w:val="clear" w:color="auto" w:fill="F2DCDB"/>
            <w:vAlign w:val="center"/>
          </w:tcPr>
          <w:p w:rsidR="00B56340" w:rsidRDefault="00B56340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6340" w:rsidRPr="00C30979" w:rsidTr="00DF4DCB">
        <w:trPr>
          <w:cantSplit/>
          <w:trHeight w:val="456"/>
          <w:tblHeader/>
        </w:trPr>
        <w:tc>
          <w:tcPr>
            <w:tcW w:w="3227" w:type="dxa"/>
            <w:vMerge w:val="restart"/>
            <w:shd w:val="clear" w:color="auto" w:fill="F2DCDB"/>
            <w:vAlign w:val="center"/>
          </w:tcPr>
          <w:p w:rsidR="00B56340" w:rsidRDefault="00B56340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left="107"/>
              <w:jc w:val="center"/>
              <w:rPr>
                <w:rFonts w:ascii="Times New Roman" w:hAnsi="Times New Roman" w:cs="Times New Roman"/>
                <w:b/>
                <w:color w:val="3333FF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3333FF"/>
                <w:sz w:val="20"/>
              </w:rPr>
              <w:t>UNIT -II</w:t>
            </w:r>
          </w:p>
        </w:tc>
        <w:tc>
          <w:tcPr>
            <w:tcW w:w="7513" w:type="dxa"/>
            <w:vMerge w:val="restart"/>
            <w:shd w:val="clear" w:color="auto" w:fill="F2DCDB"/>
            <w:vAlign w:val="center"/>
          </w:tcPr>
          <w:p w:rsidR="00B56340" w:rsidRDefault="00B56340" w:rsidP="00DF4DCB">
            <w:pPr>
              <w:spacing w:after="0"/>
            </w:pPr>
            <w:r w:rsidRPr="00C30979">
              <w:t>‘</w:t>
            </w:r>
            <w:r w:rsidRPr="00C30979">
              <w:rPr>
                <w:cs/>
              </w:rPr>
              <w:t>रामचंद्रिका</w:t>
            </w:r>
            <w:r w:rsidRPr="00C30979">
              <w:t>’ (</w:t>
            </w:r>
            <w:r w:rsidRPr="00C30979">
              <w:rPr>
                <w:cs/>
              </w:rPr>
              <w:t>परशुराम संवाद) से चयनित अंश की व्याख्या एवं केशव संबंधी आलोचनात्मक प्रश्न।</w:t>
            </w:r>
          </w:p>
          <w:p w:rsidR="00B56340" w:rsidRPr="00C30979" w:rsidRDefault="00B56340" w:rsidP="00DF4DCB">
            <w:pPr>
              <w:spacing w:after="0"/>
              <w:jc w:val="right"/>
            </w:pPr>
            <w:r w:rsidRPr="0026348E">
              <w:rPr>
                <w:rFonts w:ascii="Arial Unicode MS" w:eastAsia="Arial Unicode MS" w:hAnsi="Arial Unicode MS"/>
                <w:b/>
                <w:bCs/>
                <w:sz w:val="20"/>
              </w:rPr>
              <w:t>(1</w:t>
            </w:r>
            <w:r>
              <w:rPr>
                <w:rFonts w:ascii="Arial Unicode MS" w:eastAsia="Arial Unicode MS" w:hAnsi="Arial Unicode MS"/>
                <w:b/>
                <w:bCs/>
                <w:sz w:val="20"/>
              </w:rPr>
              <w:t>2</w:t>
            </w:r>
            <w:r w:rsidRPr="0026348E">
              <w:rPr>
                <w:rFonts w:ascii="Arial Unicode MS" w:eastAsia="Arial Unicode MS" w:hAnsi="Arial Unicode MS"/>
                <w:b/>
                <w:bCs/>
                <w:sz w:val="20"/>
              </w:rPr>
              <w:t xml:space="preserve"> Hours)</w:t>
            </w:r>
          </w:p>
        </w:tc>
      </w:tr>
      <w:tr w:rsidR="00B56340" w:rsidRPr="00C30979" w:rsidTr="00DF4DCB">
        <w:trPr>
          <w:cantSplit/>
          <w:trHeight w:val="264"/>
          <w:tblHeader/>
        </w:trPr>
        <w:tc>
          <w:tcPr>
            <w:tcW w:w="3227" w:type="dxa"/>
            <w:vMerge/>
            <w:shd w:val="clear" w:color="auto" w:fill="F2DCDB"/>
            <w:vAlign w:val="center"/>
          </w:tcPr>
          <w:p w:rsidR="00B56340" w:rsidRDefault="00B56340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13" w:type="dxa"/>
            <w:vMerge/>
            <w:shd w:val="clear" w:color="auto" w:fill="F2DCDB"/>
            <w:vAlign w:val="center"/>
          </w:tcPr>
          <w:p w:rsidR="00B56340" w:rsidRDefault="00B56340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6340" w:rsidRPr="00C30979" w:rsidTr="00DF4DCB">
        <w:trPr>
          <w:cantSplit/>
          <w:trHeight w:val="666"/>
          <w:tblHeader/>
        </w:trPr>
        <w:tc>
          <w:tcPr>
            <w:tcW w:w="3227" w:type="dxa"/>
            <w:shd w:val="clear" w:color="auto" w:fill="F2DCDB"/>
            <w:vAlign w:val="center"/>
          </w:tcPr>
          <w:p w:rsidR="00B56340" w:rsidRDefault="00B56340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left="107"/>
              <w:jc w:val="center"/>
              <w:rPr>
                <w:rFonts w:ascii="Times New Roman" w:hAnsi="Times New Roman" w:cs="Times New Roman"/>
                <w:b/>
                <w:color w:val="3333FF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3333FF"/>
                <w:sz w:val="20"/>
              </w:rPr>
              <w:t>UNIT-III</w:t>
            </w:r>
          </w:p>
        </w:tc>
        <w:tc>
          <w:tcPr>
            <w:tcW w:w="7513" w:type="dxa"/>
            <w:shd w:val="clear" w:color="auto" w:fill="F2DCDB"/>
            <w:vAlign w:val="center"/>
          </w:tcPr>
          <w:p w:rsidR="00B56340" w:rsidRDefault="00B56340" w:rsidP="00DF4DCB">
            <w:pPr>
              <w:spacing w:after="0"/>
            </w:pPr>
            <w:r w:rsidRPr="00C30979">
              <w:t>‘</w:t>
            </w:r>
            <w:r w:rsidRPr="00C30979">
              <w:rPr>
                <w:cs/>
              </w:rPr>
              <w:t>भूषण ग्रंथावली</w:t>
            </w:r>
            <w:r w:rsidRPr="00C30979">
              <w:t xml:space="preserve">’ </w:t>
            </w:r>
            <w:r w:rsidRPr="00C30979">
              <w:rPr>
                <w:cs/>
              </w:rPr>
              <w:t>से चयनित पदों की व्याख्या एवं भूषण संबंधी आलोचनात्मक प्रश्न।</w:t>
            </w:r>
          </w:p>
          <w:p w:rsidR="00B56340" w:rsidRPr="00C30979" w:rsidRDefault="00B56340" w:rsidP="00DF4DCB">
            <w:pPr>
              <w:spacing w:after="0"/>
              <w:jc w:val="right"/>
            </w:pPr>
            <w:r w:rsidRPr="0026348E">
              <w:rPr>
                <w:rFonts w:ascii="Arial Unicode MS" w:eastAsia="Arial Unicode MS" w:hAnsi="Arial Unicode MS"/>
                <w:b/>
                <w:bCs/>
                <w:sz w:val="20"/>
              </w:rPr>
              <w:t>(1</w:t>
            </w:r>
            <w:r>
              <w:rPr>
                <w:rFonts w:ascii="Arial Unicode MS" w:eastAsia="Arial Unicode MS" w:hAnsi="Arial Unicode MS"/>
                <w:b/>
                <w:bCs/>
                <w:sz w:val="20"/>
              </w:rPr>
              <w:t>2</w:t>
            </w:r>
            <w:r w:rsidRPr="0026348E">
              <w:rPr>
                <w:rFonts w:ascii="Arial Unicode MS" w:eastAsia="Arial Unicode MS" w:hAnsi="Arial Unicode MS"/>
                <w:b/>
                <w:bCs/>
                <w:sz w:val="20"/>
              </w:rPr>
              <w:t xml:space="preserve"> Hours)</w:t>
            </w:r>
          </w:p>
        </w:tc>
      </w:tr>
      <w:tr w:rsidR="00B56340" w:rsidRPr="00C30979" w:rsidTr="00DF4DCB">
        <w:trPr>
          <w:cantSplit/>
          <w:trHeight w:val="598"/>
          <w:tblHeader/>
        </w:trPr>
        <w:tc>
          <w:tcPr>
            <w:tcW w:w="3227" w:type="dxa"/>
            <w:vMerge w:val="restart"/>
            <w:shd w:val="clear" w:color="auto" w:fill="F2DCDB"/>
            <w:vAlign w:val="center"/>
          </w:tcPr>
          <w:p w:rsidR="00B56340" w:rsidRDefault="00B56340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left="107"/>
              <w:jc w:val="center"/>
              <w:rPr>
                <w:rFonts w:ascii="Times New Roman" w:hAnsi="Times New Roman" w:cs="Times New Roman"/>
                <w:b/>
                <w:color w:val="3333FF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3333FF"/>
                <w:sz w:val="20"/>
              </w:rPr>
              <w:lastRenderedPageBreak/>
              <w:t>UNIT-IV</w:t>
            </w:r>
          </w:p>
        </w:tc>
        <w:tc>
          <w:tcPr>
            <w:tcW w:w="7513" w:type="dxa"/>
            <w:vMerge w:val="restart"/>
            <w:shd w:val="clear" w:color="auto" w:fill="F2DCDB"/>
            <w:vAlign w:val="center"/>
          </w:tcPr>
          <w:p w:rsidR="00B56340" w:rsidRDefault="00B56340" w:rsidP="00DF4DCB">
            <w:pPr>
              <w:spacing w:after="0"/>
            </w:pPr>
            <w:r w:rsidRPr="00C30979">
              <w:t>‘</w:t>
            </w:r>
            <w:r w:rsidRPr="00C30979">
              <w:rPr>
                <w:cs/>
              </w:rPr>
              <w:t>आनंदघन</w:t>
            </w:r>
            <w:r w:rsidRPr="00C30979">
              <w:t>’ (</w:t>
            </w:r>
            <w:r w:rsidRPr="00C30979">
              <w:rPr>
                <w:cs/>
              </w:rPr>
              <w:t>प्रथम 25 पद) से चयनित पदों की व्याख्या एवं घनानन्द संबंधी आलोचनात्मक प्रश्न।</w:t>
            </w:r>
          </w:p>
          <w:p w:rsidR="00B56340" w:rsidRPr="00C30979" w:rsidRDefault="00B56340" w:rsidP="00DF4DCB">
            <w:pPr>
              <w:spacing w:after="0"/>
              <w:jc w:val="right"/>
            </w:pPr>
            <w:r w:rsidRPr="0026348E">
              <w:rPr>
                <w:rFonts w:ascii="Arial Unicode MS" w:eastAsia="Arial Unicode MS" w:hAnsi="Arial Unicode MS"/>
                <w:b/>
                <w:bCs/>
                <w:sz w:val="20"/>
              </w:rPr>
              <w:t>(1</w:t>
            </w:r>
            <w:r>
              <w:rPr>
                <w:rFonts w:ascii="Arial Unicode MS" w:eastAsia="Arial Unicode MS" w:hAnsi="Arial Unicode MS"/>
                <w:b/>
                <w:bCs/>
                <w:sz w:val="20"/>
              </w:rPr>
              <w:t>2</w:t>
            </w:r>
            <w:r w:rsidRPr="0026348E">
              <w:rPr>
                <w:rFonts w:ascii="Arial Unicode MS" w:eastAsia="Arial Unicode MS" w:hAnsi="Arial Unicode MS"/>
                <w:b/>
                <w:bCs/>
                <w:sz w:val="20"/>
              </w:rPr>
              <w:t xml:space="preserve"> Hours)</w:t>
            </w:r>
          </w:p>
        </w:tc>
      </w:tr>
      <w:tr w:rsidR="00B56340" w:rsidRPr="00C30979" w:rsidTr="00DF4DCB">
        <w:trPr>
          <w:cantSplit/>
          <w:trHeight w:val="264"/>
          <w:tblHeader/>
        </w:trPr>
        <w:tc>
          <w:tcPr>
            <w:tcW w:w="3227" w:type="dxa"/>
            <w:vMerge/>
            <w:shd w:val="clear" w:color="auto" w:fill="F2DCDB"/>
            <w:vAlign w:val="center"/>
          </w:tcPr>
          <w:p w:rsidR="00B56340" w:rsidRDefault="00B56340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513" w:type="dxa"/>
            <w:vMerge/>
            <w:shd w:val="clear" w:color="auto" w:fill="F2DCDB"/>
            <w:vAlign w:val="center"/>
          </w:tcPr>
          <w:p w:rsidR="00B56340" w:rsidRDefault="00B56340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56340" w:rsidRPr="00C30979" w:rsidTr="00DF4DCB">
        <w:trPr>
          <w:cantSplit/>
          <w:trHeight w:val="312"/>
          <w:tblHeader/>
        </w:trPr>
        <w:tc>
          <w:tcPr>
            <w:tcW w:w="3227" w:type="dxa"/>
            <w:vMerge w:val="restart"/>
            <w:shd w:val="clear" w:color="auto" w:fill="F2DCDB"/>
            <w:vAlign w:val="center"/>
          </w:tcPr>
          <w:p w:rsidR="00B56340" w:rsidRDefault="00B56340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left="107"/>
              <w:jc w:val="center"/>
              <w:rPr>
                <w:rFonts w:ascii="Times New Roman" w:hAnsi="Times New Roman" w:cs="Times New Roman"/>
                <w:b/>
                <w:color w:val="3333FF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3333FF"/>
                <w:sz w:val="20"/>
              </w:rPr>
              <w:t>UNIT-V</w:t>
            </w:r>
          </w:p>
        </w:tc>
        <w:tc>
          <w:tcPr>
            <w:tcW w:w="7513" w:type="dxa"/>
            <w:vMerge w:val="restart"/>
            <w:shd w:val="clear" w:color="auto" w:fill="F2DCDB"/>
            <w:vAlign w:val="center"/>
          </w:tcPr>
          <w:p w:rsidR="00B56340" w:rsidRDefault="00B56340" w:rsidP="00DF4DCB">
            <w:pPr>
              <w:spacing w:after="0"/>
            </w:pPr>
            <w:r w:rsidRPr="00C30979">
              <w:rPr>
                <w:cs/>
              </w:rPr>
              <w:t>रीतिकालीन हिंदी कविता : परिचय एवं प्रवृत्तियाँ।</w:t>
            </w:r>
          </w:p>
          <w:p w:rsidR="00B56340" w:rsidRPr="00C30979" w:rsidRDefault="00B56340" w:rsidP="00DF4DCB">
            <w:pPr>
              <w:spacing w:after="0"/>
              <w:jc w:val="right"/>
            </w:pPr>
            <w:r w:rsidRPr="0026348E">
              <w:rPr>
                <w:rFonts w:ascii="Arial Unicode MS" w:eastAsia="Arial Unicode MS" w:hAnsi="Arial Unicode MS"/>
                <w:b/>
                <w:bCs/>
                <w:sz w:val="20"/>
              </w:rPr>
              <w:t>(1</w:t>
            </w:r>
            <w:r>
              <w:rPr>
                <w:rFonts w:ascii="Arial Unicode MS" w:eastAsia="Arial Unicode MS" w:hAnsi="Arial Unicode MS"/>
                <w:b/>
                <w:bCs/>
                <w:sz w:val="20"/>
              </w:rPr>
              <w:t>2</w:t>
            </w:r>
            <w:r w:rsidRPr="0026348E">
              <w:rPr>
                <w:rFonts w:ascii="Arial Unicode MS" w:eastAsia="Arial Unicode MS" w:hAnsi="Arial Unicode MS"/>
                <w:b/>
                <w:bCs/>
                <w:sz w:val="20"/>
              </w:rPr>
              <w:t xml:space="preserve"> Hours)</w:t>
            </w:r>
          </w:p>
        </w:tc>
      </w:tr>
      <w:tr w:rsidR="00B56340" w:rsidRPr="00C30979" w:rsidTr="00DF4DCB">
        <w:trPr>
          <w:cantSplit/>
          <w:trHeight w:val="264"/>
          <w:tblHeader/>
        </w:trPr>
        <w:tc>
          <w:tcPr>
            <w:tcW w:w="3227" w:type="dxa"/>
            <w:vMerge/>
            <w:shd w:val="clear" w:color="auto" w:fill="F2DCDB"/>
            <w:vAlign w:val="center"/>
          </w:tcPr>
          <w:p w:rsidR="00B56340" w:rsidRDefault="00B56340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13" w:type="dxa"/>
            <w:vMerge/>
            <w:shd w:val="clear" w:color="auto" w:fill="F2DCDB"/>
            <w:vAlign w:val="center"/>
          </w:tcPr>
          <w:p w:rsidR="00B56340" w:rsidRDefault="00B56340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6340" w:rsidRPr="00C30979" w:rsidTr="00DF4DCB">
        <w:trPr>
          <w:cantSplit/>
          <w:trHeight w:val="659"/>
          <w:tblHeader/>
        </w:trPr>
        <w:tc>
          <w:tcPr>
            <w:tcW w:w="3227" w:type="dxa"/>
            <w:shd w:val="clear" w:color="auto" w:fill="F2DCDB"/>
            <w:vAlign w:val="center"/>
          </w:tcPr>
          <w:p w:rsidR="00B56340" w:rsidRDefault="00B56340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left="107"/>
              <w:jc w:val="center"/>
              <w:rPr>
                <w:rFonts w:ascii="Times New Roman" w:hAnsi="Times New Roman" w:cs="Times New Roman"/>
                <w:b/>
                <w:color w:val="3333FF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3333FF"/>
                <w:sz w:val="20"/>
              </w:rPr>
              <w:t>Text Books</w:t>
            </w:r>
          </w:p>
        </w:tc>
        <w:tc>
          <w:tcPr>
            <w:tcW w:w="7513" w:type="dxa"/>
            <w:shd w:val="clear" w:color="auto" w:fill="F2DCDB"/>
            <w:vAlign w:val="center"/>
          </w:tcPr>
          <w:p w:rsidR="00B56340" w:rsidRPr="00C30979" w:rsidRDefault="00B56340" w:rsidP="00DF4DCB">
            <w:pPr>
              <w:spacing w:after="0"/>
            </w:pPr>
            <w:r w:rsidRPr="00C30979">
              <w:rPr>
                <w:cs/>
              </w:rPr>
              <w:t xml:space="preserve">1. बिहारी: </w:t>
            </w:r>
            <w:r w:rsidRPr="00C30979">
              <w:t>‘</w:t>
            </w:r>
            <w:r w:rsidRPr="00C30979">
              <w:rPr>
                <w:cs/>
              </w:rPr>
              <w:t>बिहारी रत्नाकर</w:t>
            </w:r>
            <w:r w:rsidRPr="00C30979">
              <w:t>’ : (</w:t>
            </w:r>
            <w:r w:rsidRPr="00C30979">
              <w:rPr>
                <w:cs/>
              </w:rPr>
              <w:t>प्रथम 50 दोहे ही पढ़ाए जाएंगे) सं. जगन्नाथ दास रत्नाकार</w:t>
            </w:r>
            <w:r w:rsidRPr="00C30979">
              <w:t xml:space="preserve">, </w:t>
            </w:r>
            <w:r w:rsidRPr="00C30979">
              <w:rPr>
                <w:cs/>
              </w:rPr>
              <w:t>लोकभारती प्रकाशन</w:t>
            </w:r>
            <w:r w:rsidRPr="00C30979">
              <w:t>,</w:t>
            </w:r>
            <w:r w:rsidRPr="00C30979">
              <w:rPr>
                <w:cs/>
              </w:rPr>
              <w:t>इलाहाबाद</w:t>
            </w:r>
          </w:p>
          <w:p w:rsidR="00B56340" w:rsidRPr="00C30979" w:rsidRDefault="00B56340" w:rsidP="00DF4DCB">
            <w:pPr>
              <w:spacing w:after="0"/>
            </w:pPr>
            <w:r w:rsidRPr="00C30979">
              <w:rPr>
                <w:cs/>
              </w:rPr>
              <w:t xml:space="preserve">2. केशव : </w:t>
            </w:r>
            <w:r w:rsidRPr="00C30979">
              <w:t>‘</w:t>
            </w:r>
            <w:r w:rsidRPr="00C30979">
              <w:rPr>
                <w:cs/>
              </w:rPr>
              <w:t>रामचंद्रिका</w:t>
            </w:r>
            <w:r w:rsidRPr="00C30979">
              <w:t>’ (</w:t>
            </w:r>
            <w:r w:rsidRPr="00C30979">
              <w:rPr>
                <w:cs/>
              </w:rPr>
              <w:t>परशुराम संवाद)</w:t>
            </w:r>
            <w:r w:rsidRPr="00C30979">
              <w:t xml:space="preserve">, </w:t>
            </w:r>
            <w:r w:rsidRPr="00C30979">
              <w:rPr>
                <w:cs/>
              </w:rPr>
              <w:t>नागरी प्रचारिणी सभा</w:t>
            </w:r>
            <w:r w:rsidRPr="00C30979">
              <w:t xml:space="preserve">, </w:t>
            </w:r>
            <w:r w:rsidRPr="00C30979">
              <w:rPr>
                <w:cs/>
              </w:rPr>
              <w:t>काशी</w:t>
            </w:r>
          </w:p>
          <w:p w:rsidR="00B56340" w:rsidRPr="00C30979" w:rsidRDefault="00B56340" w:rsidP="00DF4DCB">
            <w:pPr>
              <w:spacing w:after="0"/>
            </w:pPr>
            <w:r w:rsidRPr="00C30979">
              <w:rPr>
                <w:cs/>
              </w:rPr>
              <w:t xml:space="preserve">3. भूषण ग्रंथावली : सं. विश्वनाथ मिश्र </w:t>
            </w:r>
            <w:r w:rsidRPr="00C30979">
              <w:t>– (</w:t>
            </w:r>
            <w:r w:rsidRPr="00C30979">
              <w:rPr>
                <w:cs/>
              </w:rPr>
              <w:t>पद सं. 408</w:t>
            </w:r>
            <w:r w:rsidRPr="00C30979">
              <w:t xml:space="preserve">, </w:t>
            </w:r>
            <w:r w:rsidRPr="00C30979">
              <w:rPr>
                <w:cs/>
              </w:rPr>
              <w:t>411</w:t>
            </w:r>
            <w:r w:rsidRPr="00C30979">
              <w:t xml:space="preserve">, </w:t>
            </w:r>
            <w:r w:rsidRPr="00C30979">
              <w:rPr>
                <w:cs/>
              </w:rPr>
              <w:t>412</w:t>
            </w:r>
            <w:r w:rsidRPr="00C30979">
              <w:t xml:space="preserve">, </w:t>
            </w:r>
            <w:r w:rsidRPr="00C30979">
              <w:rPr>
                <w:cs/>
              </w:rPr>
              <w:t>413</w:t>
            </w:r>
            <w:r w:rsidRPr="00C30979">
              <w:t xml:space="preserve">, </w:t>
            </w:r>
            <w:r w:rsidRPr="00C30979">
              <w:rPr>
                <w:cs/>
              </w:rPr>
              <w:t>420</w:t>
            </w:r>
            <w:r w:rsidRPr="00C30979">
              <w:t xml:space="preserve">, </w:t>
            </w:r>
            <w:r w:rsidRPr="00C30979">
              <w:rPr>
                <w:cs/>
              </w:rPr>
              <w:t>421</w:t>
            </w:r>
            <w:r w:rsidRPr="00C30979">
              <w:t xml:space="preserve">, </w:t>
            </w:r>
            <w:r w:rsidRPr="00C30979">
              <w:rPr>
                <w:cs/>
              </w:rPr>
              <w:t>424</w:t>
            </w:r>
            <w:r w:rsidRPr="00C30979">
              <w:t xml:space="preserve">, </w:t>
            </w:r>
            <w:r w:rsidRPr="00C30979">
              <w:rPr>
                <w:cs/>
              </w:rPr>
              <w:t>427</w:t>
            </w:r>
            <w:r w:rsidRPr="00C30979">
              <w:t xml:space="preserve">, </w:t>
            </w:r>
            <w:r w:rsidRPr="00C30979">
              <w:rPr>
                <w:cs/>
              </w:rPr>
              <w:t>428</w:t>
            </w:r>
            <w:r w:rsidRPr="00C30979">
              <w:t xml:space="preserve">, </w:t>
            </w:r>
            <w:r w:rsidRPr="00C30979">
              <w:rPr>
                <w:cs/>
              </w:rPr>
              <w:t>429</w:t>
            </w:r>
            <w:r w:rsidRPr="00C30979">
              <w:t>,</w:t>
            </w:r>
            <w:r w:rsidRPr="00C30979">
              <w:rPr>
                <w:cs/>
              </w:rPr>
              <w:t>430</w:t>
            </w:r>
            <w:r w:rsidRPr="00C30979">
              <w:t xml:space="preserve">, </w:t>
            </w:r>
            <w:r w:rsidRPr="00C30979">
              <w:rPr>
                <w:cs/>
              </w:rPr>
              <w:t>431</w:t>
            </w:r>
            <w:r w:rsidRPr="00C30979">
              <w:t xml:space="preserve">, </w:t>
            </w:r>
            <w:r w:rsidRPr="00C30979">
              <w:rPr>
                <w:cs/>
              </w:rPr>
              <w:t>432</w:t>
            </w:r>
            <w:r w:rsidRPr="00C30979">
              <w:t xml:space="preserve">, </w:t>
            </w:r>
            <w:r w:rsidRPr="00C30979">
              <w:rPr>
                <w:cs/>
              </w:rPr>
              <w:t>433</w:t>
            </w:r>
            <w:r w:rsidRPr="00C30979">
              <w:t xml:space="preserve">, </w:t>
            </w:r>
            <w:r w:rsidRPr="00C30979">
              <w:rPr>
                <w:cs/>
              </w:rPr>
              <w:t>436</w:t>
            </w:r>
            <w:r w:rsidRPr="00C30979">
              <w:t xml:space="preserve">, </w:t>
            </w:r>
            <w:r w:rsidRPr="00C30979">
              <w:rPr>
                <w:cs/>
              </w:rPr>
              <w:t>442</w:t>
            </w:r>
            <w:r w:rsidRPr="00C30979">
              <w:t xml:space="preserve">, </w:t>
            </w:r>
            <w:r w:rsidRPr="00C30979">
              <w:rPr>
                <w:cs/>
              </w:rPr>
              <w:t>443</w:t>
            </w:r>
            <w:r w:rsidRPr="00C30979">
              <w:t xml:space="preserve">, </w:t>
            </w:r>
            <w:r w:rsidRPr="00C30979">
              <w:rPr>
                <w:cs/>
              </w:rPr>
              <w:t>444</w:t>
            </w:r>
            <w:r w:rsidRPr="00C30979">
              <w:t xml:space="preserve">, </w:t>
            </w:r>
            <w:r w:rsidRPr="00C30979">
              <w:rPr>
                <w:cs/>
              </w:rPr>
              <w:t>445</w:t>
            </w:r>
            <w:r w:rsidRPr="00C30979">
              <w:t xml:space="preserve">, </w:t>
            </w:r>
            <w:r w:rsidRPr="00C30979">
              <w:rPr>
                <w:cs/>
              </w:rPr>
              <w:t>448)</w:t>
            </w:r>
            <w:r w:rsidRPr="00C30979">
              <w:t xml:space="preserve">, </w:t>
            </w:r>
            <w:r w:rsidRPr="00C30979">
              <w:rPr>
                <w:cs/>
              </w:rPr>
              <w:t>वाणी प्रकाशन</w:t>
            </w:r>
            <w:r w:rsidRPr="00C30979">
              <w:t xml:space="preserve">, </w:t>
            </w:r>
            <w:r w:rsidRPr="00C30979">
              <w:rPr>
                <w:cs/>
              </w:rPr>
              <w:t>नई दिल्ली</w:t>
            </w:r>
          </w:p>
          <w:p w:rsidR="00B56340" w:rsidRPr="00C30979" w:rsidRDefault="00B56340" w:rsidP="00DF4DCB">
            <w:pPr>
              <w:spacing w:after="0"/>
            </w:pPr>
            <w:r w:rsidRPr="00C30979">
              <w:rPr>
                <w:cs/>
              </w:rPr>
              <w:t xml:space="preserve">4. घनानन्द - </w:t>
            </w:r>
            <w:r w:rsidRPr="00C30979">
              <w:t>‘</w:t>
            </w:r>
            <w:r w:rsidRPr="00C30979">
              <w:rPr>
                <w:cs/>
              </w:rPr>
              <w:t>आनन्दघन</w:t>
            </w:r>
            <w:r w:rsidRPr="00C30979">
              <w:t>’ (</w:t>
            </w:r>
            <w:r>
              <w:rPr>
                <w:cs/>
              </w:rPr>
              <w:t xml:space="preserve">प्रथम 25 पद पढ़ाए </w:t>
            </w:r>
            <w:r>
              <w:rPr>
                <w:rFonts w:hint="cs"/>
                <w:cs/>
              </w:rPr>
              <w:t>जाएँगे</w:t>
            </w:r>
            <w:r w:rsidRPr="00C30979">
              <w:rPr>
                <w:cs/>
              </w:rPr>
              <w:t>)</w:t>
            </w:r>
            <w:r w:rsidRPr="00C30979">
              <w:t xml:space="preserve">, </w:t>
            </w:r>
            <w:r w:rsidRPr="00C30979">
              <w:rPr>
                <w:cs/>
              </w:rPr>
              <w:t>सं. रामदेव शुक्ल</w:t>
            </w:r>
            <w:r w:rsidRPr="00C30979">
              <w:t xml:space="preserve">, </w:t>
            </w:r>
            <w:r w:rsidRPr="00C30979">
              <w:rPr>
                <w:cs/>
              </w:rPr>
              <w:t>वाणी प्रकाशन</w:t>
            </w:r>
            <w:r w:rsidRPr="00C30979">
              <w:t xml:space="preserve">, </w:t>
            </w:r>
            <w:r w:rsidRPr="00C30979">
              <w:rPr>
                <w:cs/>
              </w:rPr>
              <w:t>नई दिल्ली</w:t>
            </w:r>
          </w:p>
        </w:tc>
      </w:tr>
      <w:tr w:rsidR="00B56340" w:rsidRPr="00C30979" w:rsidTr="00DF4DCB">
        <w:trPr>
          <w:cantSplit/>
          <w:trHeight w:val="416"/>
          <w:tblHeader/>
        </w:trPr>
        <w:tc>
          <w:tcPr>
            <w:tcW w:w="3227" w:type="dxa"/>
            <w:shd w:val="clear" w:color="auto" w:fill="F2DCDB"/>
            <w:vAlign w:val="center"/>
          </w:tcPr>
          <w:p w:rsidR="00B56340" w:rsidRDefault="00B56340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left="107"/>
              <w:jc w:val="center"/>
              <w:rPr>
                <w:rFonts w:ascii="Times New Roman" w:hAnsi="Times New Roman" w:cs="Times New Roman"/>
                <w:b/>
                <w:color w:val="3333FF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3333FF"/>
                <w:sz w:val="20"/>
              </w:rPr>
              <w:t>Reference Books</w:t>
            </w:r>
          </w:p>
        </w:tc>
        <w:tc>
          <w:tcPr>
            <w:tcW w:w="7513" w:type="dxa"/>
            <w:shd w:val="clear" w:color="auto" w:fill="F2DCDB"/>
            <w:vAlign w:val="center"/>
          </w:tcPr>
          <w:p w:rsidR="00B56340" w:rsidRPr="00C30979" w:rsidRDefault="00B56340" w:rsidP="00DF4DCB">
            <w:pPr>
              <w:spacing w:after="0"/>
            </w:pPr>
            <w:r w:rsidRPr="00C30979">
              <w:rPr>
                <w:cs/>
              </w:rPr>
              <w:t>1. भागीरथ मिश्र : हिंदी रीति साहित्य</w:t>
            </w:r>
            <w:r w:rsidRPr="00C30979">
              <w:t xml:space="preserve">, </w:t>
            </w:r>
            <w:r w:rsidRPr="00C30979">
              <w:rPr>
                <w:cs/>
              </w:rPr>
              <w:t>राजकमल प्रकाशन</w:t>
            </w:r>
            <w:r w:rsidRPr="00C30979">
              <w:t xml:space="preserve">, </w:t>
            </w:r>
            <w:r w:rsidRPr="00C30979">
              <w:rPr>
                <w:cs/>
              </w:rPr>
              <w:t>नई दिल्ली</w:t>
            </w:r>
          </w:p>
          <w:p w:rsidR="00B56340" w:rsidRPr="00C30979" w:rsidRDefault="00B56340" w:rsidP="00DF4DCB">
            <w:pPr>
              <w:spacing w:after="0"/>
            </w:pPr>
            <w:r w:rsidRPr="00C30979">
              <w:rPr>
                <w:cs/>
              </w:rPr>
              <w:t>2. बच्चन सिंह : बिहारी का नया मूल्यांकन</w:t>
            </w:r>
            <w:r w:rsidRPr="00C30979">
              <w:t xml:space="preserve">, </w:t>
            </w:r>
            <w:r w:rsidRPr="00C30979">
              <w:rPr>
                <w:cs/>
              </w:rPr>
              <w:t>लोकभारती प्रकाशन</w:t>
            </w:r>
            <w:r w:rsidRPr="00C30979">
              <w:t xml:space="preserve">, </w:t>
            </w:r>
            <w:r w:rsidRPr="00C30979">
              <w:rPr>
                <w:cs/>
              </w:rPr>
              <w:t>इलाहाबाद</w:t>
            </w:r>
          </w:p>
          <w:p w:rsidR="00B56340" w:rsidRPr="00C30979" w:rsidRDefault="00B56340" w:rsidP="00DF4DCB">
            <w:pPr>
              <w:spacing w:after="0"/>
            </w:pPr>
            <w:r w:rsidRPr="00C30979">
              <w:rPr>
                <w:cs/>
              </w:rPr>
              <w:t>3. नगेन्द्र : रीतिकाव्य की भूमिका</w:t>
            </w:r>
            <w:r w:rsidRPr="00C30979">
              <w:t xml:space="preserve">, </w:t>
            </w:r>
            <w:r w:rsidRPr="00C30979">
              <w:rPr>
                <w:cs/>
              </w:rPr>
              <w:t>नेशनल पब्लिशिंग हाउस</w:t>
            </w:r>
            <w:r w:rsidRPr="00C30979">
              <w:t xml:space="preserve">, </w:t>
            </w:r>
            <w:r w:rsidRPr="00C30979">
              <w:rPr>
                <w:cs/>
              </w:rPr>
              <w:t>नई दिल्ली</w:t>
            </w:r>
          </w:p>
          <w:p w:rsidR="00B56340" w:rsidRPr="00C30979" w:rsidRDefault="00B56340" w:rsidP="00DF4DCB">
            <w:pPr>
              <w:spacing w:after="0"/>
            </w:pPr>
            <w:r w:rsidRPr="00C30979">
              <w:rPr>
                <w:rFonts w:hint="cs"/>
                <w:cs/>
              </w:rPr>
              <w:t>4</w:t>
            </w:r>
            <w:r w:rsidRPr="00C30979">
              <w:rPr>
                <w:cs/>
              </w:rPr>
              <w:t>. बच्चन सिंह : बिहारी का नया मूल्यांकन</w:t>
            </w:r>
            <w:r w:rsidRPr="00C30979">
              <w:t xml:space="preserve">, </w:t>
            </w:r>
            <w:r w:rsidRPr="00C30979">
              <w:rPr>
                <w:cs/>
              </w:rPr>
              <w:t>लोकभारती प्रकाशन</w:t>
            </w:r>
            <w:r w:rsidRPr="00C30979">
              <w:t xml:space="preserve">, </w:t>
            </w:r>
            <w:r w:rsidRPr="00C30979">
              <w:rPr>
                <w:cs/>
              </w:rPr>
              <w:t>नई दिल्ली</w:t>
            </w:r>
          </w:p>
          <w:p w:rsidR="00B56340" w:rsidRPr="00C30979" w:rsidRDefault="00B56340" w:rsidP="00DF4DCB">
            <w:pPr>
              <w:spacing w:after="0"/>
            </w:pPr>
            <w:r w:rsidRPr="00C30979">
              <w:rPr>
                <w:rFonts w:hint="cs"/>
                <w:cs/>
              </w:rPr>
              <w:t>5</w:t>
            </w:r>
            <w:r w:rsidRPr="00C30979">
              <w:rPr>
                <w:cs/>
              </w:rPr>
              <w:t>. नन्द किशोर नवल : रीति काव्य</w:t>
            </w:r>
            <w:r w:rsidRPr="00C30979">
              <w:t xml:space="preserve">, </w:t>
            </w:r>
            <w:r w:rsidRPr="00C30979">
              <w:rPr>
                <w:cs/>
              </w:rPr>
              <w:t>राधाकृष्ण प्रकाशन</w:t>
            </w:r>
            <w:r w:rsidRPr="00C30979">
              <w:t xml:space="preserve">, </w:t>
            </w:r>
            <w:r w:rsidRPr="00C30979">
              <w:rPr>
                <w:cs/>
              </w:rPr>
              <w:t>नई दिल्ली</w:t>
            </w:r>
          </w:p>
        </w:tc>
      </w:tr>
      <w:tr w:rsidR="00B56340" w:rsidRPr="00C30979" w:rsidTr="00DF4DCB">
        <w:trPr>
          <w:cantSplit/>
          <w:trHeight w:val="659"/>
          <w:tblHeader/>
        </w:trPr>
        <w:tc>
          <w:tcPr>
            <w:tcW w:w="3227" w:type="dxa"/>
            <w:shd w:val="clear" w:color="auto" w:fill="F2DCDB"/>
            <w:vAlign w:val="center"/>
          </w:tcPr>
          <w:p w:rsidR="00B56340" w:rsidRDefault="00B56340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left="10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3333FF"/>
                <w:sz w:val="20"/>
              </w:rPr>
              <w:t>Suggested E-resources</w:t>
            </w:r>
          </w:p>
        </w:tc>
        <w:tc>
          <w:tcPr>
            <w:tcW w:w="7513" w:type="dxa"/>
            <w:shd w:val="clear" w:color="auto" w:fill="F2DCDB"/>
            <w:vAlign w:val="center"/>
          </w:tcPr>
          <w:p w:rsidR="00B56340" w:rsidRPr="00C30979" w:rsidRDefault="00B56340" w:rsidP="00DF4D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5" w:history="1">
              <w:r w:rsidRPr="00C30979">
                <w:rPr>
                  <w:rStyle w:val="Hyperlink"/>
                  <w:rFonts w:ascii="Times New Roman" w:hAnsi="Times New Roman"/>
                  <w:sz w:val="20"/>
                </w:rPr>
                <w:t>http://sahityabhawanpublications.com</w:t>
              </w:r>
            </w:hyperlink>
          </w:p>
          <w:p w:rsidR="00B56340" w:rsidRPr="00C30979" w:rsidRDefault="00B56340" w:rsidP="00DF4D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6" w:history="1">
              <w:r w:rsidRPr="00C30979">
                <w:rPr>
                  <w:rStyle w:val="Hyperlink"/>
                  <w:rFonts w:ascii="Times New Roman" w:hAnsi="Times New Roman"/>
                  <w:sz w:val="20"/>
                </w:rPr>
                <w:t>http://kavitakosh.org</w:t>
              </w:r>
            </w:hyperlink>
          </w:p>
          <w:p w:rsidR="00B56340" w:rsidRDefault="00B56340" w:rsidP="00DF4DC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hyperlink r:id="rId7" w:history="1">
              <w:r w:rsidRPr="00C30979">
                <w:rPr>
                  <w:rStyle w:val="Hyperlink"/>
                  <w:rFonts w:ascii="Times New Roman" w:hAnsi="Times New Roman"/>
                  <w:sz w:val="20"/>
                </w:rPr>
                <w:t>http://www.hindikavykosh.in</w:t>
              </w:r>
            </w:hyperlink>
          </w:p>
        </w:tc>
      </w:tr>
    </w:tbl>
    <w:p w:rsidR="005B1CD5" w:rsidRDefault="005B1CD5"/>
    <w:sectPr w:rsidR="005B1C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15751"/>
    <w:multiLevelType w:val="hybridMultilevel"/>
    <w:tmpl w:val="197615AA"/>
    <w:lvl w:ilvl="0" w:tplc="B912780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B56340"/>
    <w:rsid w:val="005B1CD5"/>
    <w:rsid w:val="00B5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340"/>
    <w:pPr>
      <w:ind w:left="720"/>
      <w:contextualSpacing/>
    </w:pPr>
    <w:rPr>
      <w:rFonts w:ascii="Calibri" w:eastAsia="Times New Roman" w:hAnsi="Calibri" w:cs="Mangal"/>
    </w:rPr>
  </w:style>
  <w:style w:type="character" w:styleId="Hyperlink">
    <w:name w:val="Hyperlink"/>
    <w:basedOn w:val="DefaultParagraphFont"/>
    <w:uiPriority w:val="99"/>
    <w:unhideWhenUsed/>
    <w:rsid w:val="00B563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indikavykosh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vitakosh.org" TargetMode="External"/><Relationship Id="rId5" Type="http://schemas.openxmlformats.org/officeDocument/2006/relationships/hyperlink" Target="http://sahityabhawanpublication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2109</Characters>
  <Application>Microsoft Office Word</Application>
  <DocSecurity>0</DocSecurity>
  <Lines>17</Lines>
  <Paragraphs>4</Paragraphs>
  <ScaleCrop>false</ScaleCrop>
  <Company>HP Inc.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2023-10-20T10:27:00Z</dcterms:created>
  <dcterms:modified xsi:type="dcterms:W3CDTF">2023-10-20T10:28:00Z</dcterms:modified>
</cp:coreProperties>
</file>